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i/>
          <w:i/>
          <w:iCs/>
        </w:rPr>
      </w:pPr>
      <w:r>
        <w:rPr>
          <w:i/>
          <w:i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95250</wp:posOffset>
            </wp:positionH>
            <wp:positionV relativeFrom="paragraph">
              <wp:posOffset>-180975</wp:posOffset>
            </wp:positionV>
            <wp:extent cx="5567680" cy="254190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68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595959"/>
        </w:rPr>
      </w:pPr>
      <w:r>
        <w:rPr>
          <w:b/>
        </w:rPr>
        <w:tab/>
      </w:r>
    </w:p>
    <w:p>
      <w:pPr>
        <w:pStyle w:val="Standard"/>
        <w:rPr/>
      </w:pPr>
      <w:r>
        <w:rPr>
          <w:rFonts w:cs="Times New Roman"/>
          <w:b/>
        </w:rPr>
        <w:tab/>
      </w:r>
    </w:p>
    <w:p>
      <w:pPr>
        <w:pStyle w:val="Standard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Standard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Standard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1847850</wp:posOffset>
            </wp:positionH>
            <wp:positionV relativeFrom="paragraph">
              <wp:posOffset>147320</wp:posOffset>
            </wp:positionV>
            <wp:extent cx="2848610" cy="1213485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bCs/>
          <w:sz w:val="22"/>
          <w:szCs w:val="22"/>
        </w:rPr>
        <w:tab/>
        <w:t xml:space="preserve">Miejski Ośrodek Pomocy Społecznej w Oławie </w:t>
      </w:r>
      <w:r>
        <w:rPr>
          <w:rFonts w:ascii="Times New Roman" w:hAnsi="Times New Roman"/>
          <w:sz w:val="22"/>
          <w:szCs w:val="22"/>
        </w:rPr>
        <w:t xml:space="preserve">ogłasza nabór do Programu </w:t>
      </w:r>
      <w:r>
        <w:rPr>
          <w:rFonts w:ascii="Times New Roman" w:hAnsi="Times New Roman"/>
          <w:b/>
          <w:bCs/>
          <w:sz w:val="22"/>
          <w:szCs w:val="22"/>
        </w:rPr>
        <w:t xml:space="preserve">„Asystent osobisty osoby </w:t>
      </w:r>
      <w:r>
        <w:rPr>
          <w:rFonts w:ascii="Times New Roman" w:hAnsi="Times New Roman"/>
          <w:b/>
          <w:bCs/>
          <w:sz w:val="22"/>
          <w:szCs w:val="22"/>
        </w:rPr>
        <w:t>z</w:t>
      </w:r>
      <w:r>
        <w:rPr>
          <w:rFonts w:ascii="Times New Roman" w:hAnsi="Times New Roman"/>
          <w:b/>
          <w:bCs/>
          <w:sz w:val="22"/>
          <w:szCs w:val="22"/>
        </w:rPr>
        <w:t xml:space="preserve"> niepełnosprawn</w:t>
      </w:r>
      <w:r>
        <w:rPr>
          <w:rFonts w:ascii="Times New Roman" w:hAnsi="Times New Roman"/>
          <w:b/>
          <w:bCs/>
          <w:sz w:val="22"/>
          <w:szCs w:val="22"/>
        </w:rPr>
        <w:t>ością</w:t>
      </w:r>
      <w:r>
        <w:rPr>
          <w:rFonts w:ascii="Times New Roman" w:hAnsi="Times New Roman"/>
          <w:b/>
          <w:bCs/>
          <w:sz w:val="22"/>
          <w:szCs w:val="22"/>
        </w:rPr>
        <w:t>” – edycja 202</w:t>
      </w:r>
      <w:r>
        <w:rPr>
          <w:rFonts w:ascii="Times New Roman" w:hAnsi="Times New Roman"/>
          <w:b/>
          <w:bCs/>
          <w:sz w:val="22"/>
          <w:szCs w:val="22"/>
        </w:rPr>
        <w:t>5</w:t>
      </w:r>
      <w:r>
        <w:rPr>
          <w:rFonts w:ascii="Times New Roman" w:hAnsi="Times New Roman"/>
          <w:b/>
          <w:bCs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 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(Wstępna rekrutacja prowadzona jest do dnia: 19.</w:t>
      </w:r>
      <w:r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8.2024r.)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</w:r>
      <w:r>
        <w:rPr>
          <w:rFonts w:cs="Times New Roman" w:ascii="Times New Roman" w:hAnsi="Times New Roman"/>
          <w:sz w:val="22"/>
          <w:szCs w:val="22"/>
        </w:rPr>
        <w:t xml:space="preserve">Karty zgłoszenia kandydatów na uczestników </w:t>
      </w:r>
      <w:r>
        <w:rPr>
          <w:rFonts w:cs="Times New Roman" w:ascii="Times New Roman" w:hAnsi="Times New Roman"/>
          <w:sz w:val="22"/>
          <w:szCs w:val="22"/>
        </w:rPr>
        <w:t>Programu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można składać w tutejszym Ośrodku. Ostateczny termin przyjmowania wniosków zostanie ogłoszony w terminie późniejszym (po podpisaniu umowy z DUW we Wrocławiu).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</w:rPr>
        <w:tab/>
        <w:t xml:space="preserve">Wnioski do Programu można pobrać w Miejskim Ośrodku Pomocy Społecznej w Oławie przy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</w:rPr>
        <w:t xml:space="preserve">ul. 3 Maja 18 g/u (budynek 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</w:rPr>
        <w:t>B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</w:rPr>
        <w:t xml:space="preserve">) lub ze strony internetowej MOPS: </w:t>
      </w:r>
      <w:hyperlink r:id="rId4">
        <w:r>
          <w:rPr>
            <w:rStyle w:val="Hyperlink"/>
            <w:rFonts w:cs="Times New Roman" w:ascii="Times New Roman" w:hAnsi="Times New Roman"/>
            <w:b w:val="false"/>
            <w:bCs w:val="false"/>
            <w:color w:val="000000"/>
            <w:sz w:val="22"/>
            <w:szCs w:val="22"/>
            <w:u w:val="none"/>
          </w:rPr>
          <w:t>http://www.mopsolawa.pl/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</w:rPr>
        <w:t xml:space="preserve">. Bliższych informacji udziela pracownik Ośrodka pod nr tel. 503-983-942. 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  <w:shd w:fill="auto" w:val="clear"/>
        </w:rPr>
        <w:t xml:space="preserve">W rekrutacji będą brane pod uwagę również wszystkie dotychczas złożone karty zgłoszenia kandydatów na uczestników (do edycji Programu na rok 2024). Po weryfikacji złożonych wniosków uczestnicy i asystenci zostaną pisemnie poinformowani o zakwalifikowaniu, bądź niezakwalifikowaniu do Programu.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 w:val="false"/>
          <w:bCs w:val="false"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u w:val="none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b w:val="false"/>
          <w:bCs w:val="false"/>
          <w:sz w:val="22"/>
          <w:szCs w:val="22"/>
        </w:rPr>
        <w:t>Program finansowany jest ze środków Funduszu Solidarnościowego.</w:t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  <w:u w:val="none"/>
        </w:rPr>
        <w:t>Uczestnicy Programu nie ponoszą żadnych odpłatności za świadczone na ich rzecz usługi asystencji osobistej.</w:t>
      </w:r>
    </w:p>
    <w:p>
      <w:pPr>
        <w:pStyle w:val="Normal"/>
        <w:spacing w:lineRule="auto" w:line="240"/>
        <w:jc w:val="both"/>
        <w:rPr>
          <w:rFonts w:ascii="Times New Roman" w:hAnsi="Times New Roman"/>
          <w:b/>
          <w:bCs/>
          <w:sz w:val="22"/>
          <w:szCs w:val="22"/>
          <w:u w:val="none"/>
        </w:rPr>
      </w:pPr>
      <w:r>
        <w:rPr>
          <w:rFonts w:ascii="Times New Roman" w:hAnsi="Times New Roman"/>
          <w:b/>
          <w:bCs/>
          <w:sz w:val="22"/>
          <w:szCs w:val="22"/>
          <w:u w:val="none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bCs/>
          <w:sz w:val="22"/>
          <w:szCs w:val="22"/>
          <w:u w:val="none"/>
        </w:rPr>
        <w:tab/>
      </w:r>
      <w:r>
        <w:rPr>
          <w:rFonts w:ascii="Times New Roman" w:hAnsi="Times New Roman"/>
          <w:b w:val="false"/>
          <w:bCs w:val="false"/>
          <w:sz w:val="22"/>
          <w:szCs w:val="22"/>
          <w:u w:val="none"/>
        </w:rPr>
        <w:t>Program zapewnia usługi asystencji osobistej świadczone uczestnikom przez asystentów osobistych osoby niepełnosprawnej.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  <w:u w:val="none"/>
        </w:rPr>
      </w:pPr>
      <w:r>
        <w:rPr>
          <w:rFonts w:ascii="Times New Roman" w:hAnsi="Times New Roman"/>
          <w:sz w:val="22"/>
          <w:szCs w:val="22"/>
          <w:u w:val="none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Głównym celem Programu jest wprowadzenie usług asystencji osobistej jako formy ogólnodostępnego wsparcia w wykonywaniu codziennych czynności oraz funkcjonowaniu w życiu społecznym, których adresatami są:</w:t>
      </w:r>
    </w:p>
    <w:p>
      <w:pPr>
        <w:pStyle w:val="Normal"/>
        <w:spacing w:lineRule="auto" w:line="240"/>
        <w:jc w:val="left"/>
        <w:rPr/>
      </w:pPr>
      <w:r>
        <w:rPr>
          <w:rFonts w:ascii="Times New Roman" w:hAnsi="Times New Roman"/>
          <w:sz w:val="22"/>
          <w:szCs w:val="22"/>
        </w:rPr>
        <w:t xml:space="preserve">1) dzieci </w:t>
      </w:r>
      <w:r>
        <w:rPr>
          <w:rFonts w:ascii="Times New Roman" w:hAnsi="Times New Roman"/>
          <w:sz w:val="22"/>
          <w:szCs w:val="22"/>
        </w:rPr>
        <w:t xml:space="preserve">od ukończenia 2 roku życia </w:t>
      </w:r>
      <w:r>
        <w:rPr>
          <w:rFonts w:ascii="Times New Roman" w:hAnsi="Times New Roman"/>
          <w:sz w:val="22"/>
          <w:szCs w:val="22"/>
        </w:rPr>
        <w:t xml:space="preserve">do 16. roku życia z orzeczeniem o niepełnosprawności łącznie ze wskazaniami: konieczności stałej lub długotrwałej opieki lub pomocy innej osoby w związku ze znacznie </w:t>
        <w:tab/>
        <w:t xml:space="preserve">ograniczoną  możliwością samodzielnej egzystencji oraz konieczności stałego współudziału na co </w:t>
        <w:tab/>
        <w:t xml:space="preserve">dzień opiekuna </w:t>
        <w:tab/>
        <w:t>dziecka w procesie jego leczenia, rehabilitacji i edukacji oraz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2) osoby niepełnosprawne posiadające orzeczenie: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a)    o znacznym stopniu niepełnosprawności albo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b)    o umiarkowanym stopniu niepełnosprawności albo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/>
          <w:bCs/>
          <w:sz w:val="22"/>
          <w:szCs w:val="22"/>
          <w:u w:val="none"/>
        </w:rPr>
        <w:tab/>
      </w:r>
      <w:r>
        <w:rPr>
          <w:rFonts w:ascii="Times New Roman" w:hAnsi="Times New Roman"/>
          <w:b w:val="false"/>
          <w:bCs w:val="false"/>
          <w:sz w:val="22"/>
          <w:szCs w:val="22"/>
          <w:u w:val="none"/>
        </w:rPr>
        <w:t xml:space="preserve">c)    traktowane na równi z orzeczeniami wymienionymi w lit. a i  b, zgodnie z art. 5 i art. 62 ustawy </w:t>
        <w:tab/>
        <w:t xml:space="preserve">z dnia 27 sierpnia 1997 r. o rehabilitacji zawodowej i społecznej oraz zatrudnianiu osób </w:t>
        <w:tab/>
        <w:t>niepełnosprawnych.</w:t>
      </w:r>
    </w:p>
    <w:p>
      <w:pPr>
        <w:pStyle w:val="Normal"/>
        <w:spacing w:lineRule="auto" w:line="24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 xml:space="preserve">Dodatkowym założeniem jest, aby </w:t>
      </w:r>
      <w:r>
        <w:rPr>
          <w:rFonts w:ascii="Times New Roman" w:hAnsi="Times New Roman"/>
          <w:b/>
          <w:bCs/>
          <w:sz w:val="22"/>
          <w:szCs w:val="22"/>
        </w:rPr>
        <w:t>minimum 70%</w:t>
      </w:r>
      <w:r>
        <w:rPr>
          <w:rFonts w:ascii="Times New Roman" w:hAnsi="Times New Roman"/>
          <w:sz w:val="22"/>
          <w:szCs w:val="22"/>
        </w:rPr>
        <w:t xml:space="preserve"> uczestników Programu stanowiły osoby wymagające wysokiego poziomu wsparcia tj.: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1)    osoby ze znacznym stopniem niepełnosprawności oraz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2)    dzieci niepełnosprawne z orzeczeniem o niepełnosprawności łącznie ze wskazaniami w pkt 7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i 8 w orzeczeniu o niepełnosprawności: konieczności stałej lub długotrwałej opieki lub pomocy innej osoby w związku ze znacznie ograniczoną możliwością samodzielnej egzystencji oraz konieczności stałego współudziału na co dzień opiekuna dziecka w procesie jego leczenia, rehabilitacji i edukacji, w tym osoby z niepełnosprawnościami sprzężonymi (przez niepełnosprawność sprzężoną rozumie się posiadanie orzeczenia ze wskazaniem co najmniej dwóch przyczyn niepełnosprawności) i trudnościami związanymi z mobilnością i komunikacją.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W przypadku, gdy usługi asystencji osobistej będą świadczone na rzecz dzieci niepełnosprawnych do 16. roku życia z orzeczeniem o niepełnosprawności, w odniesieniu do osoby, która ma świadczyć usługi asystencji osobistej, wymagane jest także: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1)         zaświadczenie o niekaralności;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2)         informacja o niefigurowaniu w Rejestrze Sprawców Przestępstw na Tle Seksualnym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w   postaci wydruku pobranej informacji z Rejestru;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3)        pisemna akceptacja osoby asystenta ze strony rodzica lub opiekuna prawnego dziecka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z niepełnosprawnością.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 xml:space="preserve">Gmina, przyznając usługi asystencji osobistej, w pierwszej kolejności uwzględnia potrzeby: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1) osób posiadających orzeczenie o znacznym stopniu niepoprawności;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2) osób posiadających orzeczenie traktowane na równi z orzeczeniem o znacznym stopniu niepełnosprawności, zgodnie z art. 5 i art. 62 ustawy z dnia 27 sierpnia 1997 r. o rehabilitacji zawodowej i społecznej oraz zatrudnianiu osób niepełnosprawnych;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3) osób z niepełnosprawnościami samotnie gospodarujących, które nie mają możliwości korzystania ze wsparcia bliskich.</w:t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Usługi asystencji osobistej polegają w szczególności na pomocy asystenta w: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1)       wykonywaniu przez uczestnika czynności dnia codziennego;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2)       wyjściu, powrocie lub dojazdach z uczestnikiem w wybrane przez uczestnika miejsca;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3)       załatwianiu przez uczestnika spraw urzędowych;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4)       korzystaniu przez uczestnika z dóbr kultury (np. muzeum, teatr, kino, galeria sztuki, wystawa);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5)       zaprowadzaniu i odebraniu dzieci z orzeczeniem niepełnosprawności do placówki oświatowej.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 xml:space="preserve">Usługi asystencji osobistej </w:t>
      </w:r>
      <w:r>
        <w:rPr>
          <w:rFonts w:ascii="Times New Roman" w:hAnsi="Times New Roman"/>
          <w:b/>
          <w:bCs/>
          <w:sz w:val="22"/>
          <w:szCs w:val="22"/>
        </w:rPr>
        <w:t>mogą być realizowane przez 24 godziny na dobę, 7 dni w tygodniu</w:t>
      </w:r>
      <w:r>
        <w:rPr>
          <w:rFonts w:ascii="Times New Roman" w:hAnsi="Times New Roman"/>
          <w:sz w:val="22"/>
          <w:szCs w:val="22"/>
        </w:rPr>
        <w:t>, przy czym przez tą samą osobę maksymalnie do 12 godzin na dobę. Przez dobę należy rozumieć 24 kolejne godziny, poczynając od godziny, w której asystent rozpoczyna realizację usługi asystencji osobistej. Do czasu realizacji usługi asystencji osobistej nie wlicza się czasu dojazdu do i od uczestnika.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Rodzaje usług i ich zakres godzinowy powinny być uzależnione od osobistej sytuacji osoby niepełnosprawnej, z uwzględnieniem stopnia i rodzaju niepełnosprawności uczestnika.</w:t>
      </w:r>
    </w:p>
    <w:p>
      <w:pPr>
        <w:pStyle w:val="Normal"/>
        <w:spacing w:lineRule="auto" w:line="24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Usługi asystencji osobistej mogą świadczyć </w:t>
      </w:r>
      <w:r>
        <w:rPr>
          <w:rFonts w:ascii="Times New Roman" w:hAnsi="Times New Roman"/>
          <w:sz w:val="22"/>
          <w:szCs w:val="22"/>
        </w:rPr>
        <w:t xml:space="preserve">osoby niebędące członkami rodziny uczestnika, opiekunami prawnymi uczestnika lub osobami faktycznie zamieszkującymi razem z uczestnikiem: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1) posiadające dokument potwierdzający uzyskanie kwalifikacji w następujących zawodach i specjalnościach: asystent osoby niepełnosprawnej, opiekun osoby starszej, opiekun medyczny, pedagog, psycholog, terapeuta zajęciowy, pielęgniarka, siostra PCK, fizjoterapeuta; lub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2) posiadające co najmniej 6-miesięczne, udokumentowane doświadczenie w udzielaniu bezpośredniej pomocy osobom z niepełnosprawnościami, np. doświadczenie zawodowe, udzielanie wsparcia osobom z niepełnosprawnościami w formie wolontariatu; lub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>3) wskazane przez uczestnika lub jego opiekuna prawnego (w przypadku osoby małoletniej albo ubezwłasnowolnionej całkowicie) w Karcie zgłoszenia do Programu „Asystent osobisty osoby z niepełnosprawnością” dla Jednostek Samorządu Terytorialnego - edycja 202</w:t>
      </w:r>
      <w:r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>Posiadanie doświadczenia, o którym mowa w pkt 2, może zostać udokumentowane pisemnym oświadczeniem podmiotu, który zlecał udzielanie bezpośredniej pomocy osobom z niepełnosprawnościami. Podmiotem tym może być również osoba fizyczna, (a więc nie tylko osoba prawna, czy jednostka organizacyjna nie posiadająca osobowości prawnej), która zleciła udzielenie bezpośredniej pomocy osobie z niepełnosprawnością.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 xml:space="preserve">Na potrzeby realizacji Programu za członków rodziny uczestnika uznaje się wstępnych lub zstępnych, małżonka, rodzeństwo, teściów, zięcia, synową, macochę, ojczyma oraz osobę pozostającą we wspólnym pożyciu, a także osobę pozostającą w stosunku przysposobienia z uczestnikiem. 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 xml:space="preserve">W pierwszej kolejności, asystentem może zostać osoba wskazana przez uczestnika lub jego opiekuna prawnego. Jeżeli asystent nie zostanie wskazany przez uczestnika lub jego opiekuna prawnego, asystenta wskazuje gmina. 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Limit godzin usług asystencji osobistej finansowanych ze środków Funduszu przypadających na jedną osobę z niepełnosprawnością w danym roku kalendarzowym wynosi nie więcej niż: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1) </w:t>
      </w:r>
      <w:r>
        <w:rPr>
          <w:rFonts w:ascii="Times New Roman" w:hAnsi="Times New Roman"/>
          <w:b/>
          <w:bCs/>
          <w:sz w:val="22"/>
          <w:szCs w:val="22"/>
        </w:rPr>
        <w:t xml:space="preserve">840 godzin rocznie </w:t>
      </w:r>
      <w:r>
        <w:rPr>
          <w:rFonts w:ascii="Times New Roman" w:hAnsi="Times New Roman"/>
          <w:b w:val="false"/>
          <w:bCs w:val="false"/>
          <w:sz w:val="22"/>
          <w:szCs w:val="22"/>
        </w:rPr>
        <w:t>dla osób z niepełnosprawnościami posiadających orzeczenie: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a) </w:t>
      </w:r>
      <w:r>
        <w:rPr>
          <w:rFonts w:ascii="Times New Roman" w:hAnsi="Times New Roman"/>
          <w:b/>
          <w:bCs/>
          <w:sz w:val="22"/>
          <w:szCs w:val="22"/>
        </w:rPr>
        <w:t xml:space="preserve">o znacznym stopniu niepełnosprawności z niepełnosprawnością sprzężoną,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b) traktowane na równi z orzeczeniem o znacznym stopniu niepełnosprawności, zgodnie z </w:t>
        <w:tab/>
        <w:tab/>
        <w:t xml:space="preserve">art. 5 i art. 62 ustawy z dnia 27 sierpnia 1997 r. o rehabilitacji zawodowej i społecznej oraz </w:t>
        <w:tab/>
        <w:tab/>
        <w:t xml:space="preserve">zatrudnianiu osób niepełnosprawnych, z niepełnosprawnością sprzężoną;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2) </w:t>
      </w:r>
      <w:r>
        <w:rPr>
          <w:rFonts w:ascii="Times New Roman" w:hAnsi="Times New Roman"/>
          <w:b/>
          <w:bCs/>
          <w:sz w:val="22"/>
          <w:szCs w:val="22"/>
        </w:rPr>
        <w:t>720 godzin rocznie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dla osób z niepełnosprawnościami posiadających orzeczenie: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a) </w:t>
      </w:r>
      <w:r>
        <w:rPr>
          <w:rFonts w:ascii="Times New Roman" w:hAnsi="Times New Roman"/>
          <w:b/>
          <w:bCs/>
          <w:sz w:val="22"/>
          <w:szCs w:val="22"/>
        </w:rPr>
        <w:t xml:space="preserve">o znacznym stopniu niepełnosprawności,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b) traktowane na równi z orzeczeniem o znacznym stopniu niepełnosprawności, zgodnie z art. 5 i art. </w:t>
        <w:tab/>
        <w:t xml:space="preserve">62 ustawy z dnia 27 sierpnia 1997 r. o rehabilitacji zawodowej i społecznej oraz zatrudnianiu osób </w:t>
        <w:tab/>
        <w:t xml:space="preserve">niepełnosprawnych;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3) </w:t>
      </w:r>
      <w:r>
        <w:rPr>
          <w:rFonts w:ascii="Times New Roman" w:hAnsi="Times New Roman"/>
          <w:b/>
          <w:bCs/>
          <w:sz w:val="22"/>
          <w:szCs w:val="22"/>
        </w:rPr>
        <w:t>480 godzin rocznie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dla osób z niepełnosprawnościami posiadających orzeczenie: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a) </w:t>
      </w:r>
      <w:r>
        <w:rPr>
          <w:rFonts w:ascii="Times New Roman" w:hAnsi="Times New Roman"/>
          <w:b/>
          <w:bCs/>
          <w:sz w:val="22"/>
          <w:szCs w:val="22"/>
        </w:rPr>
        <w:t>o umiarkowanym stopniu niepełnosprawności z niepełnosprawnością sprzężoną,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b) traktowane na równi z orzeczeniem o umiarkowanym stopniu niepełnosprawności, zgodnie z art. </w:t>
        <w:tab/>
        <w:t xml:space="preserve">5 i art. 62 ustawy z dnia 27 sierpnia 1997 r. o rehabilitacji zawodowej i społecznej oraz zatrudnianiu </w:t>
        <w:tab/>
        <w:t xml:space="preserve">osób niepełnosprawnych, z niepełnosprawnością sprzężoną;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4) </w:t>
      </w:r>
      <w:r>
        <w:rPr>
          <w:rFonts w:ascii="Times New Roman" w:hAnsi="Times New Roman"/>
          <w:b/>
          <w:bCs/>
          <w:sz w:val="22"/>
          <w:szCs w:val="22"/>
        </w:rPr>
        <w:t xml:space="preserve">360 godzin rocznie </w:t>
      </w:r>
      <w:r>
        <w:rPr>
          <w:rFonts w:ascii="Times New Roman" w:hAnsi="Times New Roman"/>
          <w:b w:val="false"/>
          <w:bCs w:val="false"/>
          <w:sz w:val="22"/>
          <w:szCs w:val="22"/>
        </w:rPr>
        <w:t>dla: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a) </w:t>
      </w:r>
      <w:r>
        <w:rPr>
          <w:rFonts w:ascii="Times New Roman" w:hAnsi="Times New Roman"/>
          <w:b/>
          <w:bCs/>
          <w:sz w:val="22"/>
          <w:szCs w:val="22"/>
        </w:rPr>
        <w:t xml:space="preserve">osób z niepełnosprawnościami posiadających orzeczenie o umiarkowanym stopniu </w:t>
        <w:tab/>
        <w:t xml:space="preserve">niepełnosprawności,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b) osób z niepełnosprawnościami posiadających orzeczenie traktowane na równi z orzeczeniem o </w:t>
        <w:tab/>
        <w:t xml:space="preserve">umiarkowanym stopniu niepełnosprawności, zgodnie z art. 5 i art. 62 ustawy z dnia 27 sierpnia 1997 </w:t>
        <w:tab/>
        <w:t xml:space="preserve">r. o rehabilitacji zawodowej i społecznej oraz zatrudnianiu osób niepełnosprawnych, 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 xml:space="preserve">c) dzieci do ukończenia 16. roku życia z orzeczeniem o niepełnosprawności łącznie ze wskazaniami </w:t>
        <w:tab/>
        <w:t xml:space="preserve">w pkt 7 i 8 w orzeczeniu o niepełnosprawności – konieczności stałej lub długotrwałej opieki lub </w:t>
        <w:tab/>
        <w:t xml:space="preserve">pomocy innej osoby w związku ze znacznie ograniczoną możliwością samodzielnej egzystencji oraz </w:t>
        <w:tab/>
        <w:t xml:space="preserve">konieczności stałego współudziału na co dzień opiekuna dziecka w procesie jego leczenia, </w:t>
        <w:tab/>
        <w:t xml:space="preserve">rehabilitacji i edukacji. </w:t>
      </w:r>
    </w:p>
    <w:p>
      <w:pPr>
        <w:pStyle w:val="Normal"/>
        <w:spacing w:lineRule="auto" w:line="240"/>
        <w:jc w:val="both"/>
        <w:rPr>
          <w:rFonts w:ascii="Times New Roman" w:hAnsi="Times New Roman"/>
          <w:b w:val="false"/>
          <w:bCs w:val="false"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sz w:val="22"/>
          <w:szCs w:val="22"/>
        </w:rPr>
        <w:tab/>
        <w:t>Limit dotyczy godzin usług asystencji osobistej świadczonych w ramach wszystkich programów Ministra w zakresie usług asystencji osobistej.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  <w:sz w:val="22"/>
          <w:szCs w:val="22"/>
        </w:rPr>
        <w:tab/>
        <w:t xml:space="preserve">Gmina przyznaje usługi asystencji osobistej na podstawie </w:t>
      </w:r>
      <w:r>
        <w:rPr>
          <w:rFonts w:ascii="Times New Roman" w:hAnsi="Times New Roman"/>
          <w:b/>
          <w:bCs/>
          <w:sz w:val="22"/>
          <w:szCs w:val="22"/>
        </w:rPr>
        <w:t xml:space="preserve">Karty zgłoszenia do Programu „Asystent osobisty osoby </w:t>
      </w:r>
      <w:r>
        <w:rPr>
          <w:rFonts w:ascii="Times New Roman" w:hAnsi="Times New Roman"/>
          <w:b/>
          <w:bCs/>
          <w:sz w:val="22"/>
          <w:szCs w:val="22"/>
        </w:rPr>
        <w:t>z</w:t>
      </w:r>
      <w:r>
        <w:rPr>
          <w:rFonts w:ascii="Times New Roman" w:hAnsi="Times New Roman"/>
          <w:b/>
          <w:bCs/>
          <w:sz w:val="22"/>
          <w:szCs w:val="22"/>
        </w:rPr>
        <w:t xml:space="preserve"> niepełnosprawn</w:t>
      </w:r>
      <w:r>
        <w:rPr>
          <w:rFonts w:ascii="Times New Roman" w:hAnsi="Times New Roman"/>
          <w:b/>
          <w:bCs/>
          <w:sz w:val="22"/>
          <w:szCs w:val="22"/>
        </w:rPr>
        <w:t>ością</w:t>
      </w:r>
      <w:r>
        <w:rPr>
          <w:rFonts w:ascii="Times New Roman" w:hAnsi="Times New Roman"/>
          <w:b/>
          <w:bCs/>
          <w:sz w:val="22"/>
          <w:szCs w:val="22"/>
        </w:rPr>
        <w:t>” – edycja 202</w:t>
      </w:r>
      <w:r>
        <w:rPr>
          <w:rFonts w:ascii="Times New Roman" w:hAnsi="Times New Roman"/>
          <w:b/>
          <w:bCs/>
          <w:sz w:val="22"/>
          <w:szCs w:val="22"/>
        </w:rPr>
        <w:t>5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>
          <w:caps w:val="false"/>
          <w:smallCaps w:val="false"/>
          <w:color w:val="333333"/>
          <w:spacing w:val="0"/>
          <w:u w:val="single"/>
        </w:rPr>
      </w:pPr>
      <w:r>
        <w:rPr>
          <w:caps w:val="false"/>
          <w:smallCaps w:val="false"/>
          <w:color w:val="333333"/>
          <w:spacing w:val="0"/>
          <w:u w:val="single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Standard"/>
        <w:spacing w:lineRule="auto" w:line="240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ab/>
      </w:r>
    </w:p>
    <w:p>
      <w:pPr>
        <w:pStyle w:val="Standard"/>
        <w:spacing w:lineRule="auto" w:line="240"/>
        <w:rPr>
          <w:sz w:val="22"/>
          <w:szCs w:val="22"/>
        </w:rPr>
      </w:pPr>
      <w:r>
        <w:rPr>
          <w:rFonts w:cs="Times New Roman"/>
          <w:sz w:val="22"/>
          <w:szCs w:val="22"/>
        </w:rPr>
        <w:tab/>
      </w:r>
    </w:p>
    <w:p>
      <w:pPr>
        <w:pStyle w:val="Standard"/>
        <w:spacing w:lineRule="auto" w:line="240"/>
        <w:rPr>
          <w:sz w:val="22"/>
          <w:szCs w:val="22"/>
        </w:rPr>
      </w:pPr>
      <w:r>
        <w:rPr>
          <w:rFonts w:cs="Times New Roman"/>
          <w:sz w:val="22"/>
          <w:szCs w:val="22"/>
        </w:rPr>
        <w:tab/>
      </w:r>
    </w:p>
    <w:p>
      <w:pPr>
        <w:pStyle w:val="Standard"/>
        <w:spacing w:lineRule="auto" w:line="240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 Unicode MS"/>
      <w:color w:val="00000A"/>
      <w:kern w:val="0"/>
      <w:sz w:val="24"/>
      <w:szCs w:val="24"/>
      <w:lang w:val="pl-PL" w:eastAsia="zh-CN" w:bidi="hi-IN"/>
    </w:rPr>
  </w:style>
  <w:style w:type="paragraph" w:styleId="Heading1">
    <w:name w:val="Heading 1"/>
    <w:basedOn w:val="Nagwek"/>
    <w:uiPriority w:val="9"/>
    <w:qFormat/>
    <w:pPr>
      <w:outlineLvl w:val="0"/>
    </w:pPr>
    <w:rPr>
      <w:rFonts w:ascii="Liberation Serif" w:hAnsi="Liberation Serif" w:eastAsia="SimSun" w:cs="Arial Unicode MS"/>
      <w:b/>
      <w:bCs/>
      <w:sz w:val="48"/>
      <w:szCs w:val="48"/>
    </w:rPr>
  </w:style>
  <w:style w:type="paragraph" w:styleId="Heading2">
    <w:name w:val="Heading 2"/>
    <w:basedOn w:val="Nagwek"/>
    <w:uiPriority w:val="9"/>
    <w:semiHidden/>
    <w:unhideWhenUsed/>
    <w:qFormat/>
    <w:pPr>
      <w:spacing w:before="200" w:after="120"/>
      <w:outlineLvl w:val="1"/>
    </w:pPr>
    <w:rPr>
      <w:rFonts w:ascii="Liberation Serif" w:hAnsi="Liberation Serif" w:eastAsia="SimSun" w:cs="Arial Unicode MS"/>
      <w:b/>
      <w:bCs/>
      <w:sz w:val="36"/>
      <w:szCs w:val="36"/>
    </w:rPr>
  </w:style>
  <w:style w:type="paragraph" w:styleId="Heading3">
    <w:name w:val="Heading 3"/>
    <w:basedOn w:val="Nagwek"/>
    <w:uiPriority w:val="9"/>
    <w:semiHidden/>
    <w:unhideWhenUsed/>
    <w:qFormat/>
    <w:pPr>
      <w:spacing w:before="140" w:after="120"/>
      <w:outlineLvl w:val="2"/>
    </w:pPr>
    <w:rPr>
      <w:b/>
      <w:bCs/>
    </w:rPr>
  </w:style>
  <w:style w:type="paragraph" w:styleId="Heading4">
    <w:name w:val="Heading 4"/>
    <w:basedOn w:val="Nagwek"/>
    <w:uiPriority w:val="9"/>
    <w:semiHidden/>
    <w:unhideWhenUsed/>
    <w:qFormat/>
    <w:pPr>
      <w:spacing w:before="120" w:after="120"/>
      <w:outlineLvl w:val="3"/>
    </w:pPr>
    <w:rPr>
      <w:rFonts w:ascii="Liberation Serif" w:hAnsi="Liberation Serif" w:eastAsia="SimSun" w:cs="Arial Unicode MS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" w:customStyle="1">
    <w:name w:val="Footnote Reference"/>
    <w:qFormat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WW8Num7z0" w:customStyle="1">
    <w:name w:val="WW8Num7z0"/>
    <w:qFormat/>
    <w:rPr>
      <w:b w:val="false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Symbol" w:hAnsi="Symbol" w:eastAsia="Symbol" w:cs="Symbol"/>
    </w:rPr>
  </w:style>
  <w:style w:type="character" w:styleId="WW8Num8z1" w:customStyle="1">
    <w:name w:val="WW8Num8z1"/>
    <w:qFormat/>
    <w:rPr>
      <w:rFonts w:ascii="Courier New" w:hAnsi="Courier New" w:eastAsia="Courier New" w:cs="Courier New"/>
    </w:rPr>
  </w:style>
  <w:style w:type="character" w:styleId="WW8Num8z2" w:customStyle="1">
    <w:name w:val="WW8Num8z2"/>
    <w:qFormat/>
    <w:rPr>
      <w:rFonts w:ascii="Wingdings" w:hAnsi="Wingdings" w:eastAsia="Wingdings" w:cs="Wingdings"/>
    </w:rPr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Symbol" w:hAnsi="Symbol" w:eastAsia="Symbol" w:cs="Symbol"/>
    </w:rPr>
  </w:style>
  <w:style w:type="character" w:styleId="WW8Num17z1" w:customStyle="1">
    <w:name w:val="WW8Num17z1"/>
    <w:qFormat/>
    <w:rPr>
      <w:rFonts w:ascii="Courier New" w:hAnsi="Courier New" w:eastAsia="Courier New" w:cs="Courier New"/>
    </w:rPr>
  </w:style>
  <w:style w:type="character" w:styleId="WW8Num17z2" w:customStyle="1">
    <w:name w:val="WW8Num17z2"/>
    <w:qFormat/>
    <w:rPr>
      <w:rFonts w:ascii="Wingdings" w:hAnsi="Wingdings" w:eastAsia="Wingdings" w:cs="Wingdings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>
      <w:b/>
    </w:rPr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>
      <w:b/>
    </w:rPr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rFonts w:ascii="Symbol" w:hAnsi="Symbol" w:eastAsia="Symbol" w:cs="Symbol"/>
    </w:rPr>
  </w:style>
  <w:style w:type="character" w:styleId="WW8Num21z1" w:customStyle="1">
    <w:name w:val="WW8Num21z1"/>
    <w:qFormat/>
    <w:rPr>
      <w:rFonts w:ascii="Courier New" w:hAnsi="Courier New" w:eastAsia="Courier New" w:cs="Courier New"/>
    </w:rPr>
  </w:style>
  <w:style w:type="character" w:styleId="WW8Num21z2" w:customStyle="1">
    <w:name w:val="WW8Num21z2"/>
    <w:qFormat/>
    <w:rPr>
      <w:rFonts w:ascii="Wingdings" w:hAnsi="Wingdings" w:eastAsia="Wingdings" w:cs="Wingdings"/>
    </w:rPr>
  </w:style>
  <w:style w:type="character" w:styleId="WW8Num22z0" w:customStyle="1">
    <w:name w:val="WW8Num22z0"/>
    <w:qFormat/>
    <w:rPr>
      <w:rFonts w:ascii="Symbol" w:hAnsi="Symbol" w:eastAsia="Symbol" w:cs="Symbol"/>
    </w:rPr>
  </w:style>
  <w:style w:type="character" w:styleId="WW8Num22z1" w:customStyle="1">
    <w:name w:val="WW8Num22z1"/>
    <w:qFormat/>
    <w:rPr>
      <w:rFonts w:ascii="Courier New" w:hAnsi="Courier New" w:eastAsia="Courier New" w:cs="Courier New"/>
    </w:rPr>
  </w:style>
  <w:style w:type="character" w:styleId="WW8Num22z2" w:customStyle="1">
    <w:name w:val="WW8Num22z2"/>
    <w:qFormat/>
    <w:rPr>
      <w:rFonts w:ascii="Wingdings" w:hAnsi="Wingdings" w:eastAsia="Wingdings" w:cs="Wingdings"/>
    </w:rPr>
  </w:style>
  <w:style w:type="character" w:styleId="WW8Num23z0" w:customStyle="1">
    <w:name w:val="WW8Num23z0"/>
    <w:qFormat/>
    <w:rPr>
      <w:rFonts w:ascii="Symbol" w:hAnsi="Symbol" w:eastAsia="Symbol" w:cs="Symbol"/>
      <w:sz w:val="20"/>
    </w:rPr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/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/>
  </w:style>
  <w:style w:type="character" w:styleId="WW8Num24z1" w:customStyle="1">
    <w:name w:val="WW8Num24z1"/>
    <w:qFormat/>
    <w:rPr/>
  </w:style>
  <w:style w:type="character" w:styleId="WW8Num24z2" w:customStyle="1">
    <w:name w:val="WW8Num24z2"/>
    <w:qFormat/>
    <w:rPr/>
  </w:style>
  <w:style w:type="character" w:styleId="WW8Num24z3" w:customStyle="1">
    <w:name w:val="WW8Num24z3"/>
    <w:qFormat/>
    <w:rPr/>
  </w:style>
  <w:style w:type="character" w:styleId="WW8Num24z4" w:customStyle="1">
    <w:name w:val="WW8Num24z4"/>
    <w:qFormat/>
    <w:rPr/>
  </w:style>
  <w:style w:type="character" w:styleId="WW8Num24z5" w:customStyle="1">
    <w:name w:val="WW8Num24z5"/>
    <w:qFormat/>
    <w:rPr/>
  </w:style>
  <w:style w:type="character" w:styleId="WW8Num24z6" w:customStyle="1">
    <w:name w:val="WW8Num24z6"/>
    <w:qFormat/>
    <w:rPr/>
  </w:style>
  <w:style w:type="character" w:styleId="WW8Num24z7" w:customStyle="1">
    <w:name w:val="WW8Num24z7"/>
    <w:qFormat/>
    <w:rPr/>
  </w:style>
  <w:style w:type="character" w:styleId="WW8Num24z8" w:customStyle="1">
    <w:name w:val="WW8Num24z8"/>
    <w:qFormat/>
    <w:rPr/>
  </w:style>
  <w:style w:type="character" w:styleId="WW8Num25z0" w:customStyle="1">
    <w:name w:val="WW8Num25z0"/>
    <w:qFormat/>
    <w:rPr>
      <w:rFonts w:ascii="Symbol" w:hAnsi="Symbol" w:eastAsia="Symbol" w:cs="Symbol"/>
    </w:rPr>
  </w:style>
  <w:style w:type="character" w:styleId="WW8Num25z1" w:customStyle="1">
    <w:name w:val="WW8Num25z1"/>
    <w:qFormat/>
    <w:rPr>
      <w:rFonts w:ascii="Courier New" w:hAnsi="Courier New" w:eastAsia="Courier New" w:cs="Courier New"/>
    </w:rPr>
  </w:style>
  <w:style w:type="character" w:styleId="WW8Num25z2" w:customStyle="1">
    <w:name w:val="WW8Num25z2"/>
    <w:qFormat/>
    <w:rPr>
      <w:rFonts w:ascii="Wingdings" w:hAnsi="Wingdings" w:eastAsia="Wingdings" w:cs="Wingdings"/>
    </w:rPr>
  </w:style>
  <w:style w:type="character" w:styleId="WW8Num26z0" w:customStyle="1">
    <w:name w:val="WW8Num26z0"/>
    <w:qFormat/>
    <w:rPr>
      <w:rFonts w:ascii="Symbol" w:hAnsi="Symbol" w:eastAsia="Symbol" w:cs="Symbol"/>
    </w:rPr>
  </w:style>
  <w:style w:type="character" w:styleId="WW8Num26z1" w:customStyle="1">
    <w:name w:val="WW8Num26z1"/>
    <w:qFormat/>
    <w:rPr>
      <w:rFonts w:ascii="Courier New" w:hAnsi="Courier New" w:eastAsia="Courier New" w:cs="Courier New"/>
    </w:rPr>
  </w:style>
  <w:style w:type="character" w:styleId="WW8Num26z2" w:customStyle="1">
    <w:name w:val="WW8Num26z2"/>
    <w:qFormat/>
    <w:rPr>
      <w:rFonts w:ascii="Wingdings" w:hAnsi="Wingdings" w:eastAsia="Wingdings" w:cs="Wingdings"/>
    </w:rPr>
  </w:style>
  <w:style w:type="character" w:styleId="WW8Num27z0" w:customStyle="1">
    <w:name w:val="WW8Num27z0"/>
    <w:qFormat/>
    <w:rPr/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/>
  </w:style>
  <w:style w:type="character" w:styleId="WW8Num28z3" w:customStyle="1">
    <w:name w:val="WW8Num28z3"/>
    <w:qFormat/>
    <w:rPr/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>
      <w:rFonts w:ascii="Symbol" w:hAnsi="Symbol" w:eastAsia="Symbol" w:cs="Symbol"/>
    </w:rPr>
  </w:style>
  <w:style w:type="character" w:styleId="WW8Num29z1" w:customStyle="1">
    <w:name w:val="WW8Num29z1"/>
    <w:qFormat/>
    <w:rPr>
      <w:rFonts w:ascii="Courier New" w:hAnsi="Courier New" w:eastAsia="Courier New" w:cs="Courier New"/>
    </w:rPr>
  </w:style>
  <w:style w:type="character" w:styleId="WW8Num29z2" w:customStyle="1">
    <w:name w:val="WW8Num29z2"/>
    <w:qFormat/>
    <w:rPr>
      <w:rFonts w:ascii="Wingdings" w:hAnsi="Wingdings" w:eastAsia="Wingdings" w:cs="Wingdings"/>
    </w:rPr>
  </w:style>
  <w:style w:type="character" w:styleId="WW8Num30z0" w:customStyle="1">
    <w:name w:val="WW8Num30z0"/>
    <w:qFormat/>
    <w:rPr>
      <w:rFonts w:ascii="Times New Roman" w:hAnsi="Times New Roman" w:eastAsia="Times New Roman" w:cs="Times New Roman"/>
    </w:rPr>
  </w:style>
  <w:style w:type="character" w:styleId="WW8Num30z1" w:customStyle="1">
    <w:name w:val="WW8Num30z1"/>
    <w:qFormat/>
    <w:rPr>
      <w:rFonts w:ascii="Courier New" w:hAnsi="Courier New" w:eastAsia="Courier New" w:cs="Courier New"/>
    </w:rPr>
  </w:style>
  <w:style w:type="character" w:styleId="WW8Num30z2" w:customStyle="1">
    <w:name w:val="WW8Num30z2"/>
    <w:qFormat/>
    <w:rPr>
      <w:rFonts w:ascii="Wingdings" w:hAnsi="Wingdings" w:eastAsia="Wingdings" w:cs="Wingdings"/>
    </w:rPr>
  </w:style>
  <w:style w:type="character" w:styleId="WW8Num30z3" w:customStyle="1">
    <w:name w:val="WW8Num30z3"/>
    <w:qFormat/>
    <w:rPr>
      <w:rFonts w:ascii="Symbol" w:hAnsi="Symbol" w:eastAsia="Symbol" w:cs="Symbol"/>
    </w:rPr>
  </w:style>
  <w:style w:type="character" w:styleId="WW8Num31z0" w:customStyle="1">
    <w:name w:val="WW8Num31z0"/>
    <w:qFormat/>
    <w:rPr>
      <w:b w:val="false"/>
    </w:rPr>
  </w:style>
  <w:style w:type="character" w:styleId="WW8Num31z1" w:customStyle="1">
    <w:name w:val="WW8Num31z1"/>
    <w:qFormat/>
    <w:rPr/>
  </w:style>
  <w:style w:type="character" w:styleId="WW8Num31z2" w:customStyle="1">
    <w:name w:val="WW8Num31z2"/>
    <w:qFormat/>
    <w:rPr/>
  </w:style>
  <w:style w:type="character" w:styleId="WW8Num31z3" w:customStyle="1">
    <w:name w:val="WW8Num31z3"/>
    <w:qFormat/>
    <w:rPr/>
  </w:style>
  <w:style w:type="character" w:styleId="WW8Num31z4" w:customStyle="1">
    <w:name w:val="WW8Num31z4"/>
    <w:qFormat/>
    <w:rPr/>
  </w:style>
  <w:style w:type="character" w:styleId="WW8Num31z5" w:customStyle="1">
    <w:name w:val="WW8Num31z5"/>
    <w:qFormat/>
    <w:rPr/>
  </w:style>
  <w:style w:type="character" w:styleId="WW8Num31z6" w:customStyle="1">
    <w:name w:val="WW8Num31z6"/>
    <w:qFormat/>
    <w:rPr/>
  </w:style>
  <w:style w:type="character" w:styleId="WW8Num31z7" w:customStyle="1">
    <w:name w:val="WW8Num31z7"/>
    <w:qFormat/>
    <w:rPr/>
  </w:style>
  <w:style w:type="character" w:styleId="WW8Num31z8" w:customStyle="1">
    <w:name w:val="WW8Num31z8"/>
    <w:qFormat/>
    <w:rPr/>
  </w:style>
  <w:style w:type="character" w:styleId="WW8Num32z0" w:customStyle="1">
    <w:name w:val="WW8Num32z0"/>
    <w:qFormat/>
    <w:rPr/>
  </w:style>
  <w:style w:type="character" w:styleId="WW8Num32z1" w:customStyle="1">
    <w:name w:val="WW8Num32z1"/>
    <w:qFormat/>
    <w:rPr/>
  </w:style>
  <w:style w:type="character" w:styleId="WW8Num32z2" w:customStyle="1">
    <w:name w:val="WW8Num32z2"/>
    <w:qFormat/>
    <w:rPr/>
  </w:style>
  <w:style w:type="character" w:styleId="WW8Num32z3" w:customStyle="1">
    <w:name w:val="WW8Num32z3"/>
    <w:qFormat/>
    <w:rPr/>
  </w:style>
  <w:style w:type="character" w:styleId="WW8Num32z4" w:customStyle="1">
    <w:name w:val="WW8Num32z4"/>
    <w:qFormat/>
    <w:rPr/>
  </w:style>
  <w:style w:type="character" w:styleId="WW8Num32z5" w:customStyle="1">
    <w:name w:val="WW8Num32z5"/>
    <w:qFormat/>
    <w:rPr/>
  </w:style>
  <w:style w:type="character" w:styleId="WW8Num32z6" w:customStyle="1">
    <w:name w:val="WW8Num32z6"/>
    <w:qFormat/>
    <w:rPr/>
  </w:style>
  <w:style w:type="character" w:styleId="WW8Num32z7" w:customStyle="1">
    <w:name w:val="WW8Num32z7"/>
    <w:qFormat/>
    <w:rPr/>
  </w:style>
  <w:style w:type="character" w:styleId="WW8Num32z8" w:customStyle="1">
    <w:name w:val="WW8Num32z8"/>
    <w:qFormat/>
    <w:rPr/>
  </w:style>
  <w:style w:type="character" w:styleId="WW8Num33z0" w:customStyle="1">
    <w:name w:val="WW8Num33z0"/>
    <w:qFormat/>
    <w:rPr>
      <w:rFonts w:ascii="Symbol" w:hAnsi="Symbol" w:eastAsia="Symbol" w:cs="Symbol"/>
    </w:rPr>
  </w:style>
  <w:style w:type="character" w:styleId="WW8Num33z1" w:customStyle="1">
    <w:name w:val="WW8Num33z1"/>
    <w:qFormat/>
    <w:rPr>
      <w:rFonts w:ascii="Courier New" w:hAnsi="Courier New" w:eastAsia="Courier New" w:cs="Courier New"/>
    </w:rPr>
  </w:style>
  <w:style w:type="character" w:styleId="WW8Num33z2" w:customStyle="1">
    <w:name w:val="WW8Num33z2"/>
    <w:qFormat/>
    <w:rPr>
      <w:rFonts w:ascii="Wingdings" w:hAnsi="Wingdings" w:eastAsia="Wingdings" w:cs="Wingdings"/>
    </w:rPr>
  </w:style>
  <w:style w:type="character" w:styleId="WW8Num34z0" w:customStyle="1">
    <w:name w:val="WW8Num34z0"/>
    <w:qFormat/>
    <w:rPr>
      <w:rFonts w:ascii="Symbol" w:hAnsi="Symbol" w:eastAsia="Symbol" w:cs="Symbol"/>
      <w:sz w:val="20"/>
    </w:rPr>
  </w:style>
  <w:style w:type="character" w:styleId="WW8Num34z1" w:customStyle="1">
    <w:name w:val="WW8Num34z1"/>
    <w:qFormat/>
    <w:rPr/>
  </w:style>
  <w:style w:type="character" w:styleId="WW8Num34z2" w:customStyle="1">
    <w:name w:val="WW8Num34z2"/>
    <w:qFormat/>
    <w:rPr/>
  </w:style>
  <w:style w:type="character" w:styleId="WW8Num34z3" w:customStyle="1">
    <w:name w:val="WW8Num34z3"/>
    <w:qFormat/>
    <w:rPr/>
  </w:style>
  <w:style w:type="character" w:styleId="WW8Num34z4" w:customStyle="1">
    <w:name w:val="WW8Num34z4"/>
    <w:qFormat/>
    <w:rPr/>
  </w:style>
  <w:style w:type="character" w:styleId="WW8Num34z5" w:customStyle="1">
    <w:name w:val="WW8Num34z5"/>
    <w:qFormat/>
    <w:rPr/>
  </w:style>
  <w:style w:type="character" w:styleId="WW8Num34z6" w:customStyle="1">
    <w:name w:val="WW8Num34z6"/>
    <w:qFormat/>
    <w:rPr/>
  </w:style>
  <w:style w:type="character" w:styleId="WW8Num34z7" w:customStyle="1">
    <w:name w:val="WW8Num34z7"/>
    <w:qFormat/>
    <w:rPr/>
  </w:style>
  <w:style w:type="character" w:styleId="WW8Num34z8" w:customStyle="1">
    <w:name w:val="WW8Num34z8"/>
    <w:qFormat/>
    <w:rPr/>
  </w:style>
  <w:style w:type="character" w:styleId="Absatz-Standardschriftart" w:customStyle="1">
    <w:name w:val="Absatz-Standardschriftart"/>
    <w:qFormat/>
    <w:rPr/>
  </w:style>
  <w:style w:type="character" w:styleId="Znakiprzypiswdolnych" w:customStyle="1">
    <w:name w:val="Znaki przypisów dolnych"/>
    <w:qFormat/>
    <w:rPr/>
  </w:style>
  <w:style w:type="character" w:styleId="Symbolewypunktowania" w:customStyle="1">
    <w:name w:val="Symbole wypunktowania"/>
    <w:qFormat/>
    <w:rPr>
      <w:rFonts w:ascii="StarSymbol, 'Arial Unicode MS'" w:hAnsi="StarSymbol, 'Arial Unicode MS'" w:eastAsia="StarSymbol, 'Arial Unicode MS'" w:cs="StarSymbol, 'Arial Unicode MS'"/>
      <w:sz w:val="18"/>
      <w:szCs w:val="18"/>
    </w:rPr>
  </w:style>
  <w:style w:type="character" w:styleId="Znakiprzypiswkocowych" w:customStyle="1">
    <w:name w:val="Znaki przypisów końcowych"/>
    <w:qFormat/>
    <w:rPr/>
  </w:style>
  <w:style w:type="character" w:styleId="TekstdymkaZnak" w:customStyle="1">
    <w:name w:val="Tekst dymka Znak"/>
    <w:qFormat/>
    <w:rPr>
      <w:rFonts w:ascii="Tahoma" w:hAnsi="Tahoma" w:eastAsia="Tahoma" w:cs="Tahoma"/>
      <w:sz w:val="16"/>
      <w:szCs w:val="16"/>
    </w:rPr>
  </w:style>
  <w:style w:type="character" w:styleId="Apple-converted-space" w:customStyle="1">
    <w:name w:val="apple-converted-space"/>
    <w:qFormat/>
    <w:rPr/>
  </w:style>
  <w:style w:type="character" w:styleId="TekstprzypisukocowegoZnak" w:customStyle="1">
    <w:name w:val="Tekst przypisu końcowego Znak"/>
    <w:qFormat/>
    <w:rPr/>
  </w:style>
  <w:style w:type="character" w:styleId="Odwoanieprzypisukocowego1" w:customStyle="1">
    <w:name w:val="Odwołanie przypisu końcowego1"/>
    <w:qFormat/>
    <w:rPr>
      <w:vertAlign w:val="superscript"/>
    </w:rPr>
  </w:style>
  <w:style w:type="character" w:styleId="Odwoaniedokomentarza1" w:customStyle="1">
    <w:name w:val="Odwołanie do komentarza1"/>
    <w:qFormat/>
    <w:rPr>
      <w:sz w:val="16"/>
      <w:szCs w:val="16"/>
    </w:rPr>
  </w:style>
  <w:style w:type="character" w:styleId="TematkomentarzaZnak" w:customStyle="1">
    <w:name w:val="Temat komentarza Znak"/>
    <w:qFormat/>
    <w:rPr>
      <w:b/>
      <w:bCs/>
    </w:rPr>
  </w:style>
  <w:style w:type="character" w:styleId="TekstkomentarzaZnak" w:customStyle="1">
    <w:name w:val="Tekst komentarza Znak"/>
    <w:qFormat/>
    <w:rPr/>
  </w:style>
  <w:style w:type="character" w:styleId="Mocnowyrniony" w:customStyle="1">
    <w:name w:val="Mocno wyróżniony"/>
    <w:qFormat/>
    <w:rPr>
      <w:b/>
      <w:bCs/>
    </w:rPr>
  </w:style>
  <w:style w:type="character" w:styleId="Domylnaczcionkaakapitu1" w:customStyle="1">
    <w:name w:val="Domyślna czcionka akapitu1"/>
    <w:qFormat/>
    <w:rPr/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Znakinumeracji" w:customStyle="1">
    <w:name w:val="Znaki numeracji"/>
    <w:qFormat/>
    <w:rPr/>
  </w:style>
  <w:style w:type="character" w:styleId="WW8Num6z8" w:customStyle="1">
    <w:name w:val="WW8Num6z8"/>
    <w:qFormat/>
    <w:rPr/>
  </w:style>
  <w:style w:type="character" w:styleId="WW8Num6z7" w:customStyle="1">
    <w:name w:val="WW8Num6z7"/>
    <w:qFormat/>
    <w:rPr/>
  </w:style>
  <w:style w:type="character" w:styleId="WW8Num6z6" w:customStyle="1">
    <w:name w:val="WW8Num6z6"/>
    <w:qFormat/>
    <w:rPr/>
  </w:style>
  <w:style w:type="character" w:styleId="WW8Num6z5" w:customStyle="1">
    <w:name w:val="WW8Num6z5"/>
    <w:qFormat/>
    <w:rPr/>
  </w:style>
  <w:style w:type="character" w:styleId="WW8Num6z4" w:customStyle="1">
    <w:name w:val="WW8Num6z4"/>
    <w:qFormat/>
    <w:rPr/>
  </w:style>
  <w:style w:type="character" w:styleId="WW8Num6z3" w:customStyle="1">
    <w:name w:val="WW8Num6z3"/>
    <w:qFormat/>
    <w:rPr/>
  </w:style>
  <w:style w:type="character" w:styleId="WW8Num6z2" w:customStyle="1">
    <w:name w:val="WW8Num6z2"/>
    <w:qFormat/>
    <w:rPr/>
  </w:style>
  <w:style w:type="character" w:styleId="WW8Num6z1" w:customStyle="1">
    <w:name w:val="WW8Num6z1"/>
    <w:qFormat/>
    <w:rPr/>
  </w:style>
  <w:style w:type="character" w:styleId="WW8Num6z0" w:customStyle="1">
    <w:name w:val="WW8Num6z0"/>
    <w:qFormat/>
    <w:rPr>
      <w:rFonts w:ascii="Times New Roman" w:hAnsi="Times New Roman" w:eastAsia="Times New Roman" w:cs="Times New Roman"/>
      <w:color w:val="000000"/>
      <w:sz w:val="24"/>
    </w:rPr>
  </w:style>
  <w:style w:type="character" w:styleId="WW8Num5z8" w:customStyle="1">
    <w:name w:val="WW8Num5z8"/>
    <w:qFormat/>
    <w:rPr/>
  </w:style>
  <w:style w:type="character" w:styleId="WW8Num5z7" w:customStyle="1">
    <w:name w:val="WW8Num5z7"/>
    <w:qFormat/>
    <w:rPr/>
  </w:style>
  <w:style w:type="character" w:styleId="WW8Num5z6" w:customStyle="1">
    <w:name w:val="WW8Num5z6"/>
    <w:qFormat/>
    <w:rPr/>
  </w:style>
  <w:style w:type="character" w:styleId="WW8Num5z5" w:customStyle="1">
    <w:name w:val="WW8Num5z5"/>
    <w:qFormat/>
    <w:rPr/>
  </w:style>
  <w:style w:type="character" w:styleId="WW8Num5z4" w:customStyle="1">
    <w:name w:val="WW8Num5z4"/>
    <w:qFormat/>
    <w:rPr/>
  </w:style>
  <w:style w:type="character" w:styleId="WW8Num5z3" w:customStyle="1">
    <w:name w:val="WW8Num5z3"/>
    <w:qFormat/>
    <w:rPr/>
  </w:style>
  <w:style w:type="character" w:styleId="WW8Num5z2" w:customStyle="1">
    <w:name w:val="WW8Num5z2"/>
    <w:qFormat/>
    <w:rPr/>
  </w:style>
  <w:style w:type="character" w:styleId="WW8Num5z1" w:customStyle="1">
    <w:name w:val="WW8Num5z1"/>
    <w:qFormat/>
    <w:rPr/>
  </w:style>
  <w:style w:type="character" w:styleId="WW8Num5z0" w:customStyle="1">
    <w:name w:val="WW8Num5z0"/>
    <w:qFormat/>
    <w:rPr>
      <w:sz w:val="24"/>
      <w:szCs w:val="24"/>
    </w:rPr>
  </w:style>
  <w:style w:type="character" w:styleId="WW8Num4z8" w:customStyle="1">
    <w:name w:val="WW8Num4z8"/>
    <w:qFormat/>
    <w:rPr/>
  </w:style>
  <w:style w:type="character" w:styleId="WW8Num4z7" w:customStyle="1">
    <w:name w:val="WW8Num4z7"/>
    <w:qFormat/>
    <w:rPr/>
  </w:style>
  <w:style w:type="character" w:styleId="WW8Num4z6" w:customStyle="1">
    <w:name w:val="WW8Num4z6"/>
    <w:qFormat/>
    <w:rPr/>
  </w:style>
  <w:style w:type="character" w:styleId="WW8Num4z5" w:customStyle="1">
    <w:name w:val="WW8Num4z5"/>
    <w:qFormat/>
    <w:rPr/>
  </w:style>
  <w:style w:type="character" w:styleId="WW8Num4z4" w:customStyle="1">
    <w:name w:val="WW8Num4z4"/>
    <w:qFormat/>
    <w:rPr/>
  </w:style>
  <w:style w:type="character" w:styleId="WW8Num4z3" w:customStyle="1">
    <w:name w:val="WW8Num4z3"/>
    <w:qFormat/>
    <w:rPr/>
  </w:style>
  <w:style w:type="character" w:styleId="WW8Num4z2" w:customStyle="1">
    <w:name w:val="WW8Num4z2"/>
    <w:qFormat/>
    <w:rPr/>
  </w:style>
  <w:style w:type="character" w:styleId="WW8Num4z1" w:customStyle="1">
    <w:name w:val="WW8Num4z1"/>
    <w:qFormat/>
    <w:rPr/>
  </w:style>
  <w:style w:type="character" w:styleId="WW8Num4z0" w:customStyle="1">
    <w:name w:val="WW8Num4z0"/>
    <w:qFormat/>
    <w:rPr>
      <w:rFonts w:eastAsia="Times New Roman"/>
      <w:sz w:val="24"/>
      <w:szCs w:val="24"/>
      <w:lang w:eastAsia="pl-PL"/>
    </w:rPr>
  </w:style>
  <w:style w:type="character" w:styleId="WW8Num3z8" w:customStyle="1">
    <w:name w:val="WW8Num3z8"/>
    <w:qFormat/>
    <w:rPr/>
  </w:style>
  <w:style w:type="character" w:styleId="WW8Num3z7" w:customStyle="1">
    <w:name w:val="WW8Num3z7"/>
    <w:qFormat/>
    <w:rPr/>
  </w:style>
  <w:style w:type="character" w:styleId="WW8Num3z6" w:customStyle="1">
    <w:name w:val="WW8Num3z6"/>
    <w:qFormat/>
    <w:rPr/>
  </w:style>
  <w:style w:type="character" w:styleId="WW8Num3z5" w:customStyle="1">
    <w:name w:val="WW8Num3z5"/>
    <w:qFormat/>
    <w:rPr/>
  </w:style>
  <w:style w:type="character" w:styleId="WW8Num3z4" w:customStyle="1">
    <w:name w:val="WW8Num3z4"/>
    <w:qFormat/>
    <w:rPr/>
  </w:style>
  <w:style w:type="character" w:styleId="WW8Num3z3" w:customStyle="1">
    <w:name w:val="WW8Num3z3"/>
    <w:qFormat/>
    <w:rPr/>
  </w:style>
  <w:style w:type="character" w:styleId="WW8Num3z2" w:customStyle="1">
    <w:name w:val="WW8Num3z2"/>
    <w:qFormat/>
    <w:rPr/>
  </w:style>
  <w:style w:type="character" w:styleId="WW8Num3z1" w:customStyle="1">
    <w:name w:val="WW8Num3z1"/>
    <w:qFormat/>
    <w:rPr/>
  </w:style>
  <w:style w:type="character" w:styleId="WW8Num3z0" w:customStyle="1">
    <w:name w:val="WW8Num3z0"/>
    <w:qFormat/>
    <w:rPr>
      <w:rFonts w:eastAsia="Times New Roman"/>
      <w:spacing w:val="6"/>
      <w:w w:val="105"/>
      <w:sz w:val="24"/>
      <w:szCs w:val="24"/>
      <w:lang w:eastAsia="pl-PL"/>
    </w:rPr>
  </w:style>
  <w:style w:type="character" w:styleId="WW8Num2z8" w:customStyle="1">
    <w:name w:val="WW8Num2z8"/>
    <w:qFormat/>
    <w:rPr/>
  </w:style>
  <w:style w:type="character" w:styleId="WW8Num2z7" w:customStyle="1">
    <w:name w:val="WW8Num2z7"/>
    <w:qFormat/>
    <w:rPr/>
  </w:style>
  <w:style w:type="character" w:styleId="WW8Num2z6" w:customStyle="1">
    <w:name w:val="WW8Num2z6"/>
    <w:qFormat/>
    <w:rPr/>
  </w:style>
  <w:style w:type="character" w:styleId="WW8Num2z5" w:customStyle="1">
    <w:name w:val="WW8Num2z5"/>
    <w:qFormat/>
    <w:rPr/>
  </w:style>
  <w:style w:type="character" w:styleId="WW8Num2z4" w:customStyle="1">
    <w:name w:val="WW8Num2z4"/>
    <w:qFormat/>
    <w:rPr/>
  </w:style>
  <w:style w:type="character" w:styleId="WW8Num2z3" w:customStyle="1">
    <w:name w:val="WW8Num2z3"/>
    <w:qFormat/>
    <w:rPr/>
  </w:style>
  <w:style w:type="character" w:styleId="WW8Num2z2" w:customStyle="1">
    <w:name w:val="WW8Num2z2"/>
    <w:qFormat/>
    <w:rPr/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/>
  </w:style>
  <w:style w:type="character" w:styleId="VisitedInternetLink" w:customStyle="1">
    <w:name w:val="Visited Internet Link"/>
    <w:qFormat/>
    <w:rPr>
      <w:color w:val="800000"/>
      <w:u w:val="single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paragraph" w:styleId="Nagwek" w:customStyle="1">
    <w:name w:val="Nagłówek"/>
    <w:basedOn w:val="Normal"/>
    <w:next w:val="BodyText"/>
    <w:qFormat/>
    <w:pPr>
      <w:keepNext w:val="true"/>
      <w:widowControl w:val="false"/>
      <w:suppressAutoHyphens w:val="true"/>
      <w:bidi w:val="0"/>
      <w:spacing w:before="240" w:after="120"/>
      <w:jc w:val="left"/>
      <w:textAlignment w:val="baseline"/>
    </w:pPr>
    <w:rPr>
      <w:rFonts w:ascii="Arial" w:hAnsi="Arial" w:eastAsia="Andale Sans UI" w:cs="Tahoma"/>
      <w:color w:val="00000A"/>
      <w:sz w:val="28"/>
      <w:szCs w:val="28"/>
      <w:lang w:val="pl-PL" w:eastAsia="zh-CN" w:bidi="hi-IN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>
      <w:widowControl w:val="false"/>
      <w:suppressAutoHyphens w:val="true"/>
      <w:bidi w:val="0"/>
      <w:jc w:val="left"/>
      <w:textAlignment w:val="baseline"/>
    </w:pPr>
    <w:rPr>
      <w:rFonts w:ascii="Liberation Serif" w:hAnsi="Liberation Serif" w:eastAsia="SimSun" w:cs="Tahoma"/>
      <w:color w:val="00000A"/>
      <w:sz w:val="24"/>
      <w:szCs w:val="24"/>
      <w:lang w:val="pl-PL" w:eastAsia="zh-CN" w:bidi="hi-I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 w:customStyle="1">
    <w:name w:val="Indeks"/>
    <w:basedOn w:val="Normal"/>
    <w:qFormat/>
    <w:pPr>
      <w:widowControl w:val="false"/>
      <w:suppressLineNumbers/>
      <w:suppressAutoHyphens w:val="true"/>
      <w:bidi w:val="0"/>
      <w:jc w:val="left"/>
      <w:textAlignment w:val="baseline"/>
    </w:pPr>
    <w:rPr>
      <w:rFonts w:ascii="Liberation Serif" w:hAnsi="Liberation Serif" w:eastAsia="SimSun" w:cs="Tahoma"/>
      <w:color w:val="00000A"/>
      <w:sz w:val="24"/>
      <w:szCs w:val="24"/>
      <w:lang w:val="pl-PL" w:eastAsia="zh-CN" w:bidi="hi-IN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Tahoma"/>
      <w:color w:val="00000A"/>
      <w:kern w:val="0"/>
      <w:sz w:val="24"/>
      <w:szCs w:val="24"/>
      <w:lang w:val="pl-PL" w:eastAsia="zh-CN" w:bidi="ar-SA"/>
    </w:rPr>
  </w:style>
  <w:style w:type="paragraph" w:styleId="Textbody" w:customStyle="1">
    <w:name w:val="Text body"/>
    <w:basedOn w:val="Standard"/>
    <w:qFormat/>
    <w:pPr>
      <w:spacing w:before="0" w:after="120"/>
    </w:pPr>
    <w:rPr>
      <w:rFonts w:eastAsia="Times New Roman" w:cs="Times New Roman"/>
    </w:rPr>
  </w:style>
  <w:style w:type="paragraph" w:styleId="Caption1">
    <w:name w:val="caption1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styleId="Subtitle">
    <w:name w:val="Subtitle"/>
    <w:basedOn w:val="Nagwek"/>
    <w:uiPriority w:val="11"/>
    <w:qFormat/>
    <w:pPr>
      <w:spacing w:before="60" w:after="120"/>
      <w:jc w:val="center"/>
    </w:pPr>
    <w:rPr>
      <w:sz w:val="36"/>
      <w:szCs w:val="36"/>
    </w:rPr>
  </w:style>
  <w:style w:type="paragraph" w:styleId="Title">
    <w:name w:val="Title"/>
    <w:basedOn w:val="Nagwek"/>
    <w:uiPriority w:val="10"/>
    <w:qFormat/>
    <w:pPr>
      <w:jc w:val="center"/>
    </w:pPr>
    <w:rPr>
      <w:b/>
      <w:bCs/>
      <w:sz w:val="56"/>
      <w:szCs w:val="56"/>
    </w:rPr>
  </w:style>
  <w:style w:type="paragraph" w:styleId="Cytaty" w:customStyle="1">
    <w:name w:val="Cytaty"/>
    <w:basedOn w:val="Standard"/>
    <w:qFormat/>
    <w:pPr>
      <w:spacing w:before="0" w:after="283"/>
      <w:ind w:hanging="0" w:left="567" w:right="567"/>
    </w:pPr>
    <w:rPr/>
  </w:style>
  <w:style w:type="paragraph" w:styleId="Annotationtext">
    <w:name w:val="annotation text"/>
    <w:basedOn w:val="Standard"/>
    <w:qFormat/>
    <w:pPr/>
    <w:rPr>
      <w:sz w:val="20"/>
      <w:szCs w:val="20"/>
    </w:rPr>
  </w:style>
  <w:style w:type="paragraph" w:styleId="Footnote" w:customStyle="1">
    <w:name w:val="Footnote"/>
    <w:basedOn w:val="Standard"/>
    <w:qFormat/>
    <w:pPr>
      <w:suppressLineNumbers/>
      <w:ind w:hanging="339" w:left="339"/>
    </w:pPr>
    <w:rPr>
      <w:sz w:val="20"/>
      <w:szCs w:val="20"/>
    </w:rPr>
  </w:style>
  <w:style w:type="paragraph" w:styleId="ListParagraph">
    <w:name w:val="List Paragraph"/>
    <w:basedOn w:val="Standard"/>
    <w:qFormat/>
    <w:pPr>
      <w:spacing w:before="0" w:after="160"/>
      <w:ind w:hanging="0" w:left="720"/>
    </w:pPr>
    <w:rPr/>
  </w:style>
  <w:style w:type="paragraph" w:styleId="Podpis1" w:customStyle="1">
    <w:name w:val="Podpis1"/>
    <w:basedOn w:val="Standard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Listapunktowana1" w:customStyle="1">
    <w:name w:val="Lista punktowana1"/>
    <w:basedOn w:val="Standard"/>
    <w:qFormat/>
    <w:pPr/>
    <w:rPr/>
  </w:style>
  <w:style w:type="paragraph" w:styleId="Akapitzlist1" w:customStyle="1">
    <w:name w:val="Akapit z listą1"/>
    <w:basedOn w:val="Standard"/>
    <w:qFormat/>
    <w:pPr>
      <w:widowControl/>
      <w:spacing w:lineRule="auto" w:line="276" w:before="0" w:after="200"/>
      <w:ind w:hanging="0" w:left="720"/>
    </w:pPr>
    <w:rPr>
      <w:rFonts w:ascii="Calibri" w:hAnsi="Calibri" w:eastAsia="Calibri" w:cs="Calibri"/>
      <w:sz w:val="22"/>
      <w:szCs w:val="22"/>
    </w:rPr>
  </w:style>
  <w:style w:type="paragraph" w:styleId="Tekstdymka1" w:customStyle="1">
    <w:name w:val="Tekst dymka1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Times New Roman" w:cs="Arial"/>
      <w:color w:val="000000"/>
      <w:kern w:val="0"/>
      <w:sz w:val="24"/>
      <w:szCs w:val="24"/>
      <w:lang w:val="pl-PL" w:eastAsia="zh-CN" w:bidi="ar-SA"/>
    </w:rPr>
  </w:style>
  <w:style w:type="paragraph" w:styleId="Zawartotabeli">
    <w:name w:val="Zawartość tabeli"/>
    <w:basedOn w:val="Normal"/>
    <w:qFormat/>
    <w:pPr/>
    <w:rPr/>
  </w:style>
  <w:style w:type="paragraph" w:styleId="Nagwektabeli" w:customStyle="1">
    <w:name w:val="Nagłówek tabeli"/>
    <w:basedOn w:val="Standard"/>
    <w:qFormat/>
    <w:pPr>
      <w:suppressLineNumbers/>
      <w:jc w:val="center"/>
    </w:pPr>
    <w:rPr>
      <w:rFonts w:eastAsia="Lucida Sans Unicode" w:cs="Tahoma"/>
      <w:b/>
      <w:bCs/>
    </w:rPr>
  </w:style>
  <w:style w:type="paragraph" w:styleId="NormalnyWeb1" w:customStyle="1">
    <w:name w:val="Normalny (Web)1"/>
    <w:basedOn w:val="Standard"/>
    <w:qFormat/>
    <w:pPr>
      <w:widowControl/>
      <w:suppressAutoHyphens w:val="false"/>
      <w:spacing w:before="100" w:after="100"/>
    </w:pPr>
    <w:rPr/>
  </w:style>
  <w:style w:type="paragraph" w:styleId="EndnoteText" w:customStyle="1">
    <w:name w:val="Endnote Text"/>
    <w:basedOn w:val="Standard"/>
    <w:pPr/>
    <w:rPr>
      <w:sz w:val="20"/>
      <w:szCs w:val="20"/>
    </w:rPr>
  </w:style>
  <w:style w:type="paragraph" w:styleId="Tematkomentarza1" w:customStyle="1">
    <w:name w:val="Temat komentarza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 Unicode MS"/>
      <w:b/>
      <w:bCs/>
      <w:color w:val="00000A"/>
      <w:kern w:val="0"/>
      <w:sz w:val="24"/>
      <w:szCs w:val="24"/>
      <w:lang w:val="pl-PL" w:eastAsia="zh-CN" w:bidi="hi-IN"/>
    </w:rPr>
  </w:style>
  <w:style w:type="paragraph" w:styleId="Tekstkomentarza1" w:customStyle="1">
    <w:name w:val="Tekst komentarza1"/>
    <w:basedOn w:val="Standard"/>
    <w:qFormat/>
    <w:pPr/>
    <w:rPr>
      <w:sz w:val="20"/>
      <w:szCs w:val="20"/>
    </w:rPr>
  </w:style>
  <w:style w:type="paragraph" w:styleId="Gwkaistopka" w:customStyle="1">
    <w:name w:val="Główka i stopka"/>
    <w:basedOn w:val="Standard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Standard"/>
    <w:pPr>
      <w:suppressLineNumbers/>
      <w:tabs>
        <w:tab w:val="clear" w:pos="709"/>
        <w:tab w:val="center" w:pos="4818" w:leader="none"/>
        <w:tab w:val="right" w:pos="9637" w:leader="none"/>
      </w:tabs>
    </w:pPr>
    <w:rPr/>
  </w:style>
  <w:style w:type="paragraph" w:styleId="Footer">
    <w:name w:val="Footer"/>
    <w:basedOn w:val="Standard"/>
    <w:pPr>
      <w:suppressLineNumbers/>
      <w:tabs>
        <w:tab w:val="clear" w:pos="709"/>
        <w:tab w:val="center" w:pos="4818" w:leader="none"/>
        <w:tab w:val="right" w:pos="9637" w:leader="none"/>
      </w:tabs>
    </w:pPr>
    <w:rPr/>
  </w:style>
  <w:style w:type="paragraph" w:styleId="LO-Normal" w:customStyle="1">
    <w:name w:val="LO-Normal"/>
    <w:basedOn w:val="Standard"/>
    <w:qFormat/>
    <w:pPr>
      <w:overflowPunct w:val="true"/>
    </w:pPr>
    <w:rPr>
      <w:rFonts w:ascii="Times New Roman" w:hAnsi="Times New Roman" w:eastAsia="Times New Roman" w:cs="Times New Roman"/>
      <w:sz w:val="20"/>
      <w:szCs w:val="20"/>
    </w:rPr>
  </w:style>
  <w:style w:type="paragraph" w:styleId="Zawartolisty" w:customStyle="1">
    <w:name w:val="Zawartość listy"/>
    <w:basedOn w:val="Standard"/>
    <w:qFormat/>
    <w:pPr>
      <w:ind w:hanging="0" w:left="567"/>
    </w:pPr>
    <w:rPr/>
  </w:style>
  <w:style w:type="paragraph" w:styleId="NormalWeb">
    <w:name w:val="Normal (Web)"/>
    <w:basedOn w:val="Normal"/>
    <w:uiPriority w:val="99"/>
    <w:semiHidden/>
    <w:unhideWhenUsed/>
    <w:qFormat/>
    <w:rsid w:val="00de1ab8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游明朝" w:cs="Times New Roman" w:eastAsiaTheme="minorEastAsia"/>
      <w:lang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://www.mopsolawa.pl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LibreOffice/24.2.3.2$Windows_X86_64 LibreOffice_project/433d9c2ded56988e8a90e6b2e771ee4e6a5ab2ba</Application>
  <AppVersion>15.0000</AppVersion>
  <DocSecurity>0</DocSecurity>
  <Pages>4</Pages>
  <Words>1205</Words>
  <Characters>8108</Characters>
  <CharactersWithSpaces>9409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2022-03-03T12:35:00Z</dcterms:created>
  <dc:creator/>
  <dc:description/>
  <dc:language>pl-PL</dc:language>
  <cp:lastModifiedBy/>
  <cp:lastPrinted>2024-08-12T12:32:08Z</cp:lastPrinted>
  <dcterms:modified xsi:type="dcterms:W3CDTF">2024-08-12T13:39:09Z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